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19E9" w:rsidRDefault="004719E9" w:rsidP="004719E9">
      <w:pPr>
        <w:spacing w:beforeLines="50" w:before="156" w:afterLines="50" w:after="156" w:line="360" w:lineRule="auto"/>
        <w:jc w:val="center"/>
        <w:outlineLvl w:val="0"/>
        <w:rPr>
          <w:rFonts w:ascii="黑体" w:eastAsia="黑体" w:hAnsi="黑体"/>
          <w:color w:val="000000" w:themeColor="text1"/>
          <w:sz w:val="36"/>
          <w:szCs w:val="36"/>
        </w:rPr>
      </w:pPr>
      <w:bookmarkStart w:id="0" w:name="_Toc6593"/>
      <w:r>
        <w:rPr>
          <w:rFonts w:ascii="黑体" w:eastAsia="黑体" w:hAnsi="黑体" w:hint="eastAsia"/>
          <w:color w:val="000000" w:themeColor="text1"/>
          <w:sz w:val="36"/>
          <w:szCs w:val="36"/>
        </w:rPr>
        <w:t>运城市财经学校</w:t>
      </w:r>
      <w:bookmarkEnd w:id="0"/>
    </w:p>
    <w:p w:rsidR="004719E9" w:rsidRDefault="004719E9" w:rsidP="004719E9">
      <w:pPr>
        <w:spacing w:beforeLines="50" w:before="156" w:afterLines="50" w:after="156" w:line="360" w:lineRule="auto"/>
        <w:jc w:val="center"/>
        <w:outlineLvl w:val="0"/>
        <w:rPr>
          <w:rFonts w:ascii="黑体" w:eastAsia="黑体" w:hAnsi="黑体"/>
          <w:color w:val="000000" w:themeColor="text1"/>
          <w:sz w:val="36"/>
          <w:szCs w:val="36"/>
        </w:rPr>
      </w:pPr>
      <w:bookmarkStart w:id="1" w:name="_Toc12670"/>
      <w:bookmarkStart w:id="2" w:name="_Toc65353102"/>
      <w:r>
        <w:rPr>
          <w:rFonts w:ascii="黑体" w:eastAsia="黑体" w:hAnsi="黑体" w:hint="eastAsia"/>
          <w:color w:val="000000" w:themeColor="text1"/>
          <w:sz w:val="36"/>
          <w:szCs w:val="36"/>
        </w:rPr>
        <w:t>高水平中等职业学校建设管理办法</w:t>
      </w:r>
      <w:bookmarkEnd w:id="1"/>
      <w:bookmarkEnd w:id="2"/>
    </w:p>
    <w:p w:rsidR="004719E9" w:rsidRDefault="004719E9" w:rsidP="004719E9">
      <w:pPr>
        <w:spacing w:beforeLines="50" w:before="156" w:line="360" w:lineRule="auto"/>
        <w:jc w:val="center"/>
        <w:rPr>
          <w:rFonts w:ascii="黑体" w:eastAsia="黑体" w:hAnsi="黑体"/>
          <w:bCs/>
          <w:color w:val="000000" w:themeColor="text1"/>
          <w:sz w:val="28"/>
          <w:szCs w:val="28"/>
        </w:rPr>
      </w:pPr>
      <w:r>
        <w:rPr>
          <w:rFonts w:ascii="黑体" w:eastAsia="黑体" w:hAnsi="黑体" w:hint="eastAsia"/>
          <w:bCs/>
          <w:color w:val="000000" w:themeColor="text1"/>
          <w:sz w:val="28"/>
          <w:szCs w:val="28"/>
        </w:rPr>
        <w:t>第一章 总 则</w:t>
      </w:r>
    </w:p>
    <w:p w:rsidR="004719E9" w:rsidRDefault="004719E9" w:rsidP="004719E9">
      <w:pPr>
        <w:widowControl/>
        <w:ind w:firstLineChars="200" w:firstLine="560"/>
        <w:jc w:val="left"/>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第一条 为贯彻落实《国家职业教育改革实施方案》，全面落实《山西省推进职业教育改革发展行动计划》，根据《山西省教育厅人力资源社会保障厅财政厅关于实施山西省高水平中等职业学校建设计划的通知》（晋教职成〔2021〕3号）和《山西省教育厅关于做好省级高水平中等职业学校建设工作的通知》（晋教职成函〔2021〕68 号）文件精神，结合学校实际，特制订本管理办法。</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第二条 高水平中等职业学校建设管理旨在通过科学、规范、有效的管理，提高投资效益，确保建设目标的实现，使学校成为产教深度融合、办学水平、服务能力、社会声誉显著提升，产出一批有影响力的办学成果，引领带动山西省中等职业教育改革发展、提质培优，使学校成为支撑区域经济社会高质量转型发展的重要力量，真正实现“领航中职财经教育，创办高水平职业学校”的奋斗目标。</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第三条 高水平中等职业学校建设计划实行精细化项目管理，按照“标准引领、制度推进、全员参与、全课程渗透”的基本要求，精心组织、精心设计、精心策划；细化任务、细化指标、细化监测。</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第四条 高水平中等职业学校项目建设实行月报制度、年报制度。每月25日前由学校项目管理办公室组织项目建设推进汇报会，采集建设信息，严格按省教育厅要求于28日前报送项目建设进展情况。每年 12 月</w:t>
      </w:r>
      <w:r>
        <w:rPr>
          <w:rFonts w:ascii="仿宋_GB2312" w:eastAsia="仿宋_GB2312" w:hAnsi="仿宋" w:cs="仿宋" w:hint="eastAsia"/>
          <w:color w:val="000000" w:themeColor="text1"/>
          <w:sz w:val="28"/>
          <w:szCs w:val="28"/>
        </w:rPr>
        <w:lastRenderedPageBreak/>
        <w:t>初开展年度项目建设审计和绩效评价，并于12月 20 日前向省教育厅报送资金审计报告和绩效评价报告。</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第五条 高水平中等职业学校建设项目管理围绕十项重点任务，采取“集中资金、突出重点、全面建设、加强管理”的方式开展项目建设管理，实行分项目建设工作目标责任制，明确建设目标，落实任务和责任，保证建设工作的顺利进行。</w:t>
      </w:r>
    </w:p>
    <w:p w:rsidR="004719E9" w:rsidRDefault="004719E9" w:rsidP="004719E9">
      <w:pPr>
        <w:spacing w:beforeLines="50" w:before="156" w:line="360" w:lineRule="auto"/>
        <w:jc w:val="center"/>
        <w:rPr>
          <w:rFonts w:ascii="黑体" w:eastAsia="黑体" w:hAnsi="黑体"/>
          <w:bCs/>
          <w:color w:val="000000" w:themeColor="text1"/>
          <w:sz w:val="28"/>
          <w:szCs w:val="28"/>
        </w:rPr>
      </w:pPr>
      <w:r>
        <w:rPr>
          <w:rFonts w:ascii="黑体" w:eastAsia="黑体" w:hAnsi="黑体" w:hint="eastAsia"/>
          <w:bCs/>
          <w:color w:val="000000" w:themeColor="text1"/>
          <w:sz w:val="28"/>
          <w:szCs w:val="28"/>
        </w:rPr>
        <w:t>第二章 管理内容与目标</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第六条 高水平中等职业学校建设项目管理的主要内容有高标准加强党的建设、高站位落实立德树人、高融合促进校企合作、高水平建设骨干特色专业、高素质打造“双师型”教师队伍、高效力提升治理水平、高品位培育校园文化、高起点推进信息化建设、高质量服务社会发展、高层次推动对外合作十项重点任务。</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第七条 高水平中等职业学校建设项目管理围绕提高建设项目的水平、质量、规模和效益，强化项目目标责任管理，做到任务明确，职责分明，程序规范，过程透明，形成自我要求、自我监测、自我修正、持续改进的严谨、科学、富有活力的创新型管理工作运行体系和机制。</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第八条 高水平中等职业学校建设项目的决策机构为运城市财经学校高水平中等职业学校建设工作领导组。学校党委书记任组长、校长任副组长，其他校领导为成员。主要履行以下职责：</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1.对项目建设目标、内容、资金筹措与分配、机构设立及人员调配等重大事项进行审定和决策。</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2.组织领导项目的实施、协调、监督、评估和验收。</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lastRenderedPageBreak/>
        <w:t>3.研究制订保证项目顺利完成的各项政策、制度及措施。</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第九条 成立高水平中等职业学校建设管理办公室，作为高水平中等职业学校建设项目日常管理机构，主任由教学副校长担任，党政办公室主任、教务部主任为副主任，成员由职能部门主要负责人和各教学系部负责人组成。其主要职责是：</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1.贯彻执行、组织落实领导小组各项决定。</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2.负责制定高水平中等职业学校建设实施方案，分解和下达项目建设任务，组织项目建设责任书的签定；组织各工作组有计划完成建设任务；及时收集各工作组建设过程中提出的问题及解决问题的建议，并及时协调加以解决。</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3.负责组织和指导管理组、建设组档案建设工作，并负责校级层面档案建设。</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4.负责组织、协调、指导项目建设工作的阶段检查、验收、总结等工作。</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5.负责每月组织一次项目建设推进情况总结汇报会，编印一期《运城市财经学校高水平中等职业学校项目建设工作简报》。</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6.负责高水平中等职业学校项目建设专题网站的建设、更新与管理工作。</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7.负责组织完成山西省教育厅安排的关于学校高水平中等职业学校项目建设有关的月报、中期检查、年度审计及绩效考核等材料的编制与报送等工作。</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8.</w:t>
      </w:r>
      <w:r>
        <w:rPr>
          <w:rFonts w:ascii="仿宋_GB2312" w:eastAsia="仿宋_GB2312" w:hAnsi="仿宋" w:cs="仿宋" w:hint="eastAsia"/>
          <w:color w:val="000000" w:themeColor="text1"/>
          <w:sz w:val="28"/>
          <w:szCs w:val="28"/>
          <w:shd w:val="clear" w:color="auto" w:fill="FFFFFF"/>
        </w:rPr>
        <w:t>严格执行项目建设资金使用和管理规定，制定项目建设分阶段资金</w:t>
      </w:r>
      <w:r>
        <w:rPr>
          <w:rFonts w:ascii="仿宋_GB2312" w:eastAsia="仿宋_GB2312" w:hAnsi="仿宋" w:cs="仿宋" w:hint="eastAsia"/>
          <w:color w:val="000000" w:themeColor="text1"/>
          <w:sz w:val="28"/>
          <w:szCs w:val="28"/>
          <w:shd w:val="clear" w:color="auto" w:fill="FFFFFF"/>
        </w:rPr>
        <w:lastRenderedPageBreak/>
        <w:t>预算方案，认真做好资金监管。</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9.起草校内建设项目的有关规章制度，监督、检查有关政策及措施的落实情况。</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10.对建设项目进行中期检查和组织自评、验收工作。</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第十条  成立质量监控、后勤保障、资金保障、党的建设、立德树人、校企合作、骨干特色专业建设、治理水平提升、校园文化建设、师资队伍建设、信息化建设、对外开放、社会服务、新闻宣传等14个项目建设工作组。各工作组组长分别由纪检室、总务部、财务部、党政办、思想政治与健康部、招就部、教务部、人事部、团委、会计系、信息系、商贸系、信息中心等部门负责人担任；每个工作组根据建设任务设立若干项目建设团队，团队负责人由专业带头人、骨干教师担任，成员由教师及企业技术人员组成。主要履行以下职责：</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1.认真贯彻执行、组织落实高水平中等职业学校建设领导组的各项决定及管理办公室下发的各项任务。</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2.负责各项目建设团队的组建、协调、指导、推进、总结等工作。</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3.负责各分项目的申报、立项及专项建设资金分配，指导和管理各建设团队按进度推进项目建设，合理、规范使用资金。</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4.负责做好与高水平中等职业学校建设相关的日常宣传报道工作，营造浓厚的高水平中等职业学校建设氛围，鼓舞士气、弘扬干事创业的精神，为高水平中等职业学校建设营造良好的内外部舆论环境，树立学校创建全国示范名校的品牌形象，扩大学校的知名度和影响力。</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5.负责制定团队绩效考核标准与具体实施办法，组织对各分项目建设</w:t>
      </w:r>
      <w:r>
        <w:rPr>
          <w:rFonts w:ascii="仿宋_GB2312" w:eastAsia="仿宋_GB2312" w:hAnsi="仿宋" w:cs="仿宋" w:hint="eastAsia"/>
          <w:color w:val="000000" w:themeColor="text1"/>
          <w:sz w:val="28"/>
          <w:szCs w:val="28"/>
        </w:rPr>
        <w:lastRenderedPageBreak/>
        <w:t>团队进行绩效考核与奖惩。</w:t>
      </w:r>
    </w:p>
    <w:p w:rsidR="004719E9" w:rsidRDefault="004719E9" w:rsidP="004719E9">
      <w:pPr>
        <w:spacing w:line="360" w:lineRule="auto"/>
        <w:jc w:val="center"/>
        <w:rPr>
          <w:rFonts w:ascii="黑体" w:eastAsia="黑体" w:hAnsi="黑体"/>
          <w:bCs/>
          <w:color w:val="000000" w:themeColor="text1"/>
          <w:sz w:val="28"/>
          <w:szCs w:val="28"/>
        </w:rPr>
      </w:pPr>
      <w:r>
        <w:rPr>
          <w:rFonts w:ascii="黑体" w:eastAsia="黑体" w:hAnsi="黑体" w:hint="eastAsia"/>
          <w:bCs/>
          <w:color w:val="000000" w:themeColor="text1"/>
          <w:sz w:val="28"/>
          <w:szCs w:val="28"/>
        </w:rPr>
        <w:t>第四章 过程管理与控制</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第十一条 每年学校将高水平学校项目建设年度目标任务纳入学校年度工作要点，各建设工作组将年度目标任务分解落实到分项目建设团队，明确目标任务完成时间、完成标准、标志性成果等，分项目建设团队依据建设小组要求，实施项目建设工作，并配合有关部门做好项目检查、考核、验收等工作。</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第十二条 建设项目管理实行进度报告和公布制度，要建立科学的跟踪评价监控和责任追究制，实现监控有规范，考核有标准，奖惩有依据。</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第十三条 项目过程管理的基本程序：</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1.由项目建设管理办公室根据教育厅、人力资源社会保障厅、财政厅批准的《山西省高水平中等职业学校建设计划建设方案》和《山西省高水平中等职业学校建设计划任务书》，分解建设任务，确定建设项目责任人。</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2.签订《高水平中等职业学校建设计划目标责任书》。</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 xml:space="preserve">由建设工作领导组组长与项目建设负责人签定《高水平中等职业学校建设计划目标责任书》，明确建设目标和任务，明确监测指标和要求。 </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 xml:space="preserve">3.下达《高水平中等职业学校建设计划分项建设任务通知单》。 </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项目负责人填写并向项目承办人下达《高水平中等职业学校建设计划分项建设任务通知单》。</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 xml:space="preserve">4.填写《高水平中等职业学校建设计划分项目建设工作日志》。 </w:t>
      </w:r>
    </w:p>
    <w:p w:rsidR="004719E9" w:rsidRDefault="004719E9" w:rsidP="004719E9">
      <w:pPr>
        <w:spacing w:line="360" w:lineRule="auto"/>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在建设过程中，项目承办人要及时填写《高水平中等职业学校建设计划分项目建设工作日志》，收集整理第一手原始资料，保证资料的真实性</w:t>
      </w:r>
      <w:r>
        <w:rPr>
          <w:rFonts w:ascii="仿宋_GB2312" w:eastAsia="仿宋_GB2312" w:hAnsi="仿宋" w:cs="仿宋" w:hint="eastAsia"/>
          <w:color w:val="000000" w:themeColor="text1"/>
          <w:sz w:val="28"/>
          <w:szCs w:val="28"/>
        </w:rPr>
        <w:lastRenderedPageBreak/>
        <w:t>和完整性。</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 xml:space="preserve">5.填写《高水平中等职业学校建设计划分项建设进度报告单》。 </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项目承办人要定期（一般为一月一次）填写《高水平中等职业学校建设计划分项建设进度报告单》，报项目负责人和项目建设管理办公室，便于掌握建设进度，进行监测和检查。</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 xml:space="preserve">6.填写《高水平中等职业学校建设计划项目建设验收报告单》。 </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项目建设完成后，项目负责人提交竣工验收申请报告，全面阐述项目的落实情况和取得的成果，填写《高水平中等职业学校建设计划项目建设验收报告单》。</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 xml:space="preserve">7.组织验收和考核工作。 </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由项目建设管理办公室组织有关人员，根据学校《山西省高水平中等职业学校项目建设任务书》及所签定的《高水平中等职业学校建设项目目标责任书》对完工内容和项目进行验收和考核，并形成验收结论。</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第十四条 实行定期检查验收制度。建立月报制度，每月25日前，各建设工作小组将建设任务完成情况报送管理办公室，管理办公室汇总后全校公布并在每月28日按要求上报省厅；建立半年度验收制度，每年6月份，学校高水平学校建设管理办公室对年度建设任务完成情况进行验收，形成验收报告，提交学校领导小组，并在全校范围内公布；建立年度验收制度，每年12月初，高水平学校建设管理办公室对年度建设任务完成情况进行检查验收及审计，形成年度建设总结报告、审计报告、绩效报告，提交学校领导小组审核后上报山西省教育厅。同时要求年度项目建设任务未完成的建设团队和建设工作组写出情况说明，拿出改进措施。</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第十五条  建立信息化管理制度。由高水平学校管理办公室组织、宣</w:t>
      </w:r>
      <w:r>
        <w:rPr>
          <w:rFonts w:ascii="仿宋_GB2312" w:eastAsia="仿宋_GB2312" w:hAnsi="仿宋" w:cs="仿宋" w:hint="eastAsia"/>
          <w:color w:val="000000" w:themeColor="text1"/>
          <w:sz w:val="28"/>
          <w:szCs w:val="28"/>
        </w:rPr>
        <w:lastRenderedPageBreak/>
        <w:t>传组具体负责，信息中心配合，建设专题网站并分工做好网站的管理、更新与维护工作，及时宣传学校高水平学校建设的活动，公示建设成果，通报各项任务建设进度，把网站办成展示学校高水平学校项目建设的窗口。</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第十六条 对于在监控过程中发现的不符合规定或操作不规范的项目，要及时提出整改意见，限期纠正和改进。对于影响项目正常建设或验收的，要追究项目负责人和有关责任人的责任，按学校规定及时进行处理。</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第十七条 实行建设项目调整变更报告和审批制度。高水平中等职业学校建设项目的建设必须以《山西省高水平中等职业学校项目建设任务书》为依据，不得随意调整。因特殊原因确需调整的事项，需由项目承办人填写《高水平中等职业学校建设项目调整报告单》，按规定程序办理审批手续。</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第十八条 高水平中等职业学校建设项目在实施过程中所产生的重要成果，按国家有关规定组织鉴定，并进行成果登记，所有权、使用权、专利权归学校，成果可按有关规定申报各级奖励。</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第十九条 对于考核成绩突出、效益显著的项目负责人、承办人及其有关人员，学校将予以表彰和奖励，并作为职称晋升和考核、评选先进等工作的重要依据之一。</w:t>
      </w:r>
    </w:p>
    <w:p w:rsidR="004719E9" w:rsidRDefault="004719E9" w:rsidP="004719E9">
      <w:pPr>
        <w:spacing w:beforeLines="50" w:before="156" w:line="360" w:lineRule="auto"/>
        <w:jc w:val="center"/>
        <w:rPr>
          <w:rFonts w:ascii="黑体" w:eastAsia="黑体" w:hAnsi="黑体"/>
          <w:bCs/>
          <w:color w:val="000000" w:themeColor="text1"/>
          <w:sz w:val="28"/>
          <w:szCs w:val="28"/>
        </w:rPr>
      </w:pPr>
      <w:r>
        <w:rPr>
          <w:rFonts w:ascii="黑体" w:eastAsia="黑体" w:hAnsi="黑体" w:hint="eastAsia"/>
          <w:bCs/>
          <w:color w:val="000000" w:themeColor="text1"/>
          <w:sz w:val="28"/>
          <w:szCs w:val="28"/>
        </w:rPr>
        <w:t>第五章 资金筹措与管理</w:t>
      </w:r>
    </w:p>
    <w:p w:rsidR="004719E9" w:rsidRDefault="004719E9" w:rsidP="004719E9">
      <w:pPr>
        <w:spacing w:line="600" w:lineRule="exact"/>
        <w:ind w:firstLineChars="200" w:firstLine="560"/>
        <w:rPr>
          <w:rFonts w:ascii="仿宋_GB2312" w:eastAsia="仿宋_GB2312" w:hAnsi="仿宋" w:cs="仿宋"/>
          <w:color w:val="000000" w:themeColor="text1"/>
          <w:kern w:val="0"/>
          <w:sz w:val="28"/>
          <w:szCs w:val="28"/>
        </w:rPr>
      </w:pPr>
      <w:r>
        <w:rPr>
          <w:rFonts w:ascii="仿宋_GB2312" w:eastAsia="仿宋_GB2312" w:hAnsi="仿宋" w:cs="仿宋" w:hint="eastAsia"/>
          <w:color w:val="000000" w:themeColor="text1"/>
          <w:sz w:val="28"/>
          <w:szCs w:val="28"/>
        </w:rPr>
        <w:t>第二十条 高水平中等职业学校建设项目所需专项建设资金，包括省财政专项资金、地方配套专项资金、行业企业</w:t>
      </w:r>
      <w:r>
        <w:rPr>
          <w:rFonts w:ascii="仿宋_GB2312" w:eastAsia="仿宋_GB2312" w:hAnsi="仿宋" w:cs="仿宋" w:hint="eastAsia"/>
          <w:color w:val="000000" w:themeColor="text1"/>
          <w:kern w:val="0"/>
          <w:sz w:val="28"/>
          <w:szCs w:val="28"/>
        </w:rPr>
        <w:t>投入资金和学校自筹安排的用于省级高水平中等职业学校建设项目的专项资金。</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 xml:space="preserve">第二十一条 </w:t>
      </w:r>
      <w:r>
        <w:rPr>
          <w:rFonts w:ascii="仿宋_GB2312" w:eastAsia="仿宋_GB2312" w:hAnsi="仿宋" w:cs="仿宋" w:hint="eastAsia"/>
          <w:color w:val="000000" w:themeColor="text1"/>
          <w:sz w:val="28"/>
          <w:szCs w:val="28"/>
          <w:shd w:val="clear" w:color="auto" w:fill="FFFFFF"/>
        </w:rPr>
        <w:t>对于省财政厅投入的专项资金实行专款专用，严格按照教育厅、人力资源社会保障厅、财政厅批准的学校《</w:t>
      </w:r>
      <w:r>
        <w:rPr>
          <w:rFonts w:ascii="仿宋_GB2312" w:eastAsia="仿宋_GB2312" w:hAnsi="仿宋" w:cs="仿宋" w:hint="eastAsia"/>
          <w:color w:val="000000" w:themeColor="text1"/>
          <w:sz w:val="28"/>
          <w:szCs w:val="28"/>
        </w:rPr>
        <w:t>山西省高水平中等职</w:t>
      </w:r>
      <w:r>
        <w:rPr>
          <w:rFonts w:ascii="仿宋_GB2312" w:eastAsia="仿宋_GB2312" w:hAnsi="仿宋" w:cs="仿宋" w:hint="eastAsia"/>
          <w:color w:val="000000" w:themeColor="text1"/>
          <w:sz w:val="28"/>
          <w:szCs w:val="28"/>
        </w:rPr>
        <w:lastRenderedPageBreak/>
        <w:t>业学校</w:t>
      </w:r>
      <w:r>
        <w:rPr>
          <w:rFonts w:ascii="仿宋_GB2312" w:eastAsia="仿宋_GB2312" w:hAnsi="仿宋" w:cs="仿宋" w:hint="eastAsia"/>
          <w:color w:val="000000" w:themeColor="text1"/>
          <w:sz w:val="28"/>
          <w:szCs w:val="28"/>
          <w:shd w:val="clear" w:color="auto" w:fill="FFFFFF"/>
        </w:rPr>
        <w:t>项目建设方案》和《</w:t>
      </w:r>
      <w:r>
        <w:rPr>
          <w:rFonts w:ascii="仿宋_GB2312" w:eastAsia="仿宋_GB2312" w:hAnsi="仿宋" w:cs="仿宋" w:hint="eastAsia"/>
          <w:color w:val="000000" w:themeColor="text1"/>
          <w:sz w:val="28"/>
          <w:szCs w:val="28"/>
        </w:rPr>
        <w:t>山西省高水平中等职业学校</w:t>
      </w:r>
      <w:r>
        <w:rPr>
          <w:rFonts w:ascii="仿宋_GB2312" w:eastAsia="仿宋_GB2312" w:hAnsi="仿宋" w:cs="仿宋" w:hint="eastAsia"/>
          <w:color w:val="000000" w:themeColor="text1"/>
          <w:sz w:val="28"/>
          <w:szCs w:val="28"/>
          <w:shd w:val="clear" w:color="auto" w:fill="FFFFFF"/>
        </w:rPr>
        <w:t>项目建设任务书》中的预算执行。财政专项资金用于设备购置、升级和信息化基础设施建设等硬件费用不得超过其总额的50%，用于教师企业实践锻炼及培训的费用不超过其总额的5%。</w:t>
      </w:r>
    </w:p>
    <w:p w:rsidR="004719E9" w:rsidRDefault="004719E9" w:rsidP="004719E9">
      <w:pPr>
        <w:spacing w:line="600" w:lineRule="exact"/>
        <w:ind w:firstLineChars="200" w:firstLine="560"/>
        <w:rPr>
          <w:rFonts w:ascii="仿宋_GB2312" w:eastAsia="仿宋_GB2312" w:hAnsi="仿宋" w:cs="仿宋"/>
          <w:color w:val="000000" w:themeColor="text1"/>
          <w:sz w:val="28"/>
          <w:szCs w:val="28"/>
          <w:shd w:val="clear" w:color="auto" w:fill="FFFFFF"/>
        </w:rPr>
      </w:pPr>
      <w:r>
        <w:rPr>
          <w:rFonts w:ascii="仿宋_GB2312" w:eastAsia="仿宋_GB2312" w:hAnsi="仿宋" w:cs="仿宋" w:hint="eastAsia"/>
          <w:color w:val="000000" w:themeColor="text1"/>
          <w:sz w:val="28"/>
          <w:szCs w:val="28"/>
        </w:rPr>
        <w:t>第二十二条 省</w:t>
      </w:r>
      <w:r>
        <w:rPr>
          <w:rFonts w:ascii="仿宋_GB2312" w:eastAsia="仿宋_GB2312" w:hAnsi="仿宋" w:cs="仿宋" w:hint="eastAsia"/>
          <w:color w:val="000000" w:themeColor="text1"/>
          <w:sz w:val="28"/>
          <w:szCs w:val="28"/>
          <w:shd w:val="clear" w:color="auto" w:fill="FFFFFF"/>
        </w:rPr>
        <w:t>级高水平中等职业学校建设专项资金实行统一管理、单独核算、专款专用、专账管理。学校财务室负责专项资金的管理，任何部门和个人不得擅自截留、挤占和挪用，不得用于支付罚款、偿还债务、支付利息、捐赠赞助、对外投资以及与项目无关的支出。</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第二十三条 学校成立专项资金管理机构，制定学校《省级高水平中等职业学校建设项目经费管理实施细则》，项目资金收支情况纳入单位年度部门决算，统一编报，切实加强对项目资金的管理。统筹安排各渠道建设资金，按照有关财务制度，科学、规范合理地使用项目建设资金，确保项目建设资金的使用效益。</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rPr>
        <w:t>第二十四条  所有设备购置应纳入地方政府采购，并严格按政府采购的有关规定执行。</w:t>
      </w:r>
      <w:r>
        <w:rPr>
          <w:rFonts w:eastAsia="仿宋_GB2312" w:cs="Calibri"/>
          <w:color w:val="000000" w:themeColor="text1"/>
          <w:kern w:val="0"/>
          <w:sz w:val="28"/>
          <w:szCs w:val="28"/>
        </w:rPr>
        <w:t> </w:t>
      </w:r>
      <w:r>
        <w:rPr>
          <w:rFonts w:ascii="仿宋_GB2312" w:eastAsia="仿宋_GB2312" w:hAnsi="仿宋" w:cs="仿宋" w:hint="eastAsia"/>
          <w:color w:val="000000" w:themeColor="text1"/>
          <w:sz w:val="28"/>
          <w:szCs w:val="28"/>
        </w:rPr>
        <w:t>项目资金支出所形成的固定资产、无形资产均属国有资产，应按国有资产管理的有关规定进行管理。</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eastAsia="仿宋_GB2312" w:cs="Calibri"/>
          <w:color w:val="000000" w:themeColor="text1"/>
          <w:kern w:val="0"/>
          <w:sz w:val="28"/>
          <w:szCs w:val="28"/>
        </w:rPr>
        <w:t> </w:t>
      </w:r>
      <w:r>
        <w:rPr>
          <w:rFonts w:ascii="仿宋_GB2312" w:eastAsia="仿宋_GB2312" w:hAnsi="仿宋" w:cs="仿宋" w:hint="eastAsia"/>
          <w:color w:val="000000" w:themeColor="text1"/>
          <w:sz w:val="28"/>
          <w:szCs w:val="28"/>
        </w:rPr>
        <w:t>第二十五条</w:t>
      </w:r>
      <w:r>
        <w:rPr>
          <w:rFonts w:eastAsia="仿宋_GB2312" w:cs="Calibri"/>
          <w:color w:val="000000" w:themeColor="text1"/>
          <w:sz w:val="28"/>
          <w:szCs w:val="28"/>
        </w:rPr>
        <w:t> </w:t>
      </w:r>
      <w:r>
        <w:rPr>
          <w:rFonts w:ascii="仿宋_GB2312" w:eastAsia="仿宋_GB2312" w:hAnsi="仿宋" w:cs="仿宋" w:hint="eastAsia"/>
          <w:color w:val="000000" w:themeColor="text1"/>
          <w:sz w:val="28"/>
          <w:szCs w:val="28"/>
        </w:rPr>
        <w:t xml:space="preserve">  高水平中等职业学校建设情况自觉接受教育、财政、审计和纪检监察等部门的监督和检查，确保项目资金专款专用。</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eastAsia="仿宋_GB2312" w:cs="Calibri"/>
          <w:color w:val="000000" w:themeColor="text1"/>
          <w:sz w:val="28"/>
          <w:szCs w:val="28"/>
        </w:rPr>
        <w:t>  </w:t>
      </w:r>
      <w:r>
        <w:rPr>
          <w:rFonts w:ascii="仿宋_GB2312" w:eastAsia="仿宋_GB2312" w:hAnsi="仿宋" w:cs="仿宋" w:hint="eastAsia"/>
          <w:color w:val="000000" w:themeColor="text1"/>
          <w:sz w:val="28"/>
          <w:szCs w:val="28"/>
        </w:rPr>
        <w:t>第二十六条</w:t>
      </w:r>
      <w:r>
        <w:rPr>
          <w:rFonts w:eastAsia="仿宋_GB2312" w:cs="Calibri"/>
          <w:color w:val="000000" w:themeColor="text1"/>
          <w:sz w:val="28"/>
          <w:szCs w:val="28"/>
        </w:rPr>
        <w:t> </w:t>
      </w:r>
      <w:r>
        <w:rPr>
          <w:rFonts w:ascii="仿宋_GB2312" w:eastAsia="仿宋_GB2312" w:hAnsi="仿宋" w:cs="仿宋" w:hint="eastAsia"/>
          <w:color w:val="000000" w:themeColor="text1"/>
          <w:sz w:val="28"/>
          <w:szCs w:val="28"/>
        </w:rPr>
        <w:t xml:space="preserve"> 严格执行《山西省省级财政专项资金预算绩效管理办法》，定期组织开展项目建设自我绩效评价，评价的主要内容包括项目实施情况、资金管理情况和绩效目标实现情况等，根据绩效考核结果及时调整建设任务及资金预算使用。</w:t>
      </w:r>
    </w:p>
    <w:p w:rsidR="004719E9" w:rsidRDefault="004719E9" w:rsidP="004719E9">
      <w:pPr>
        <w:spacing w:beforeLines="50" w:before="156" w:line="360" w:lineRule="auto"/>
        <w:jc w:val="center"/>
        <w:rPr>
          <w:rFonts w:ascii="黑体" w:eastAsia="黑体" w:hAnsi="黑体"/>
          <w:bCs/>
          <w:color w:val="000000" w:themeColor="text1"/>
          <w:sz w:val="28"/>
          <w:szCs w:val="28"/>
        </w:rPr>
      </w:pPr>
      <w:r>
        <w:rPr>
          <w:rFonts w:ascii="黑体" w:eastAsia="黑体" w:hAnsi="黑体" w:hint="eastAsia"/>
          <w:bCs/>
          <w:color w:val="000000" w:themeColor="text1"/>
          <w:sz w:val="28"/>
          <w:szCs w:val="28"/>
        </w:rPr>
        <w:t>第六章 附 则</w:t>
      </w:r>
    </w:p>
    <w:p w:rsidR="004719E9" w:rsidRDefault="004719E9" w:rsidP="004719E9">
      <w:pPr>
        <w:spacing w:line="600" w:lineRule="exact"/>
        <w:ind w:firstLineChars="200" w:firstLine="560"/>
        <w:rPr>
          <w:rFonts w:ascii="仿宋_GB2312" w:eastAsia="仿宋_GB2312" w:hAnsi="仿宋" w:cs="仿宋"/>
          <w:color w:val="000000" w:themeColor="text1"/>
          <w:sz w:val="28"/>
          <w:szCs w:val="28"/>
          <w:shd w:val="clear" w:color="auto" w:fill="FFFFFF"/>
        </w:rPr>
      </w:pPr>
      <w:r>
        <w:rPr>
          <w:rFonts w:ascii="仿宋_GB2312" w:eastAsia="仿宋_GB2312" w:hAnsi="仿宋" w:cs="仿宋" w:hint="eastAsia"/>
          <w:color w:val="000000" w:themeColor="text1"/>
          <w:sz w:val="28"/>
          <w:szCs w:val="28"/>
          <w:shd w:val="clear" w:color="auto" w:fill="FFFFFF"/>
        </w:rPr>
        <w:lastRenderedPageBreak/>
        <w:t>第二十七条 各项目建设工作小组可根据本办法的总体原则，结合各项目建设的具体情况，制订相应的实施细则，并报项目建设管理办公室备案。</w:t>
      </w:r>
    </w:p>
    <w:p w:rsidR="004719E9" w:rsidRDefault="004719E9" w:rsidP="004719E9">
      <w:pPr>
        <w:spacing w:line="600" w:lineRule="exact"/>
        <w:ind w:firstLineChars="200" w:firstLine="560"/>
        <w:rPr>
          <w:rFonts w:ascii="仿宋_GB2312" w:eastAsia="仿宋_GB2312" w:hAnsi="仿宋" w:cs="仿宋"/>
          <w:color w:val="000000" w:themeColor="text1"/>
          <w:sz w:val="28"/>
          <w:szCs w:val="28"/>
          <w:shd w:val="clear" w:color="auto" w:fill="FFFFFF"/>
        </w:rPr>
      </w:pPr>
      <w:r>
        <w:rPr>
          <w:rFonts w:ascii="仿宋_GB2312" w:eastAsia="仿宋_GB2312" w:hAnsi="仿宋" w:cs="仿宋" w:hint="eastAsia"/>
          <w:color w:val="000000" w:themeColor="text1"/>
          <w:sz w:val="28"/>
          <w:szCs w:val="28"/>
          <w:shd w:val="clear" w:color="auto" w:fill="FFFFFF"/>
        </w:rPr>
        <w:t>第二十八条 本办法未尽事宜，由运城市财经学校省级高水平中等职业学校建设工作委员会根据上级精神研究决定。</w:t>
      </w:r>
    </w:p>
    <w:p w:rsidR="004719E9" w:rsidRDefault="004719E9" w:rsidP="004719E9">
      <w:pPr>
        <w:spacing w:line="600" w:lineRule="exact"/>
        <w:ind w:firstLineChars="200" w:firstLine="560"/>
        <w:rPr>
          <w:rFonts w:ascii="仿宋_GB2312" w:eastAsia="仿宋_GB2312" w:hAnsi="仿宋" w:cs="仿宋"/>
          <w:color w:val="000000" w:themeColor="text1"/>
          <w:sz w:val="28"/>
          <w:szCs w:val="28"/>
        </w:rPr>
      </w:pPr>
      <w:r>
        <w:rPr>
          <w:rFonts w:ascii="仿宋_GB2312" w:eastAsia="仿宋_GB2312" w:hAnsi="仿宋" w:cs="仿宋" w:hint="eastAsia"/>
          <w:color w:val="000000" w:themeColor="text1"/>
          <w:sz w:val="28"/>
          <w:szCs w:val="28"/>
          <w:shd w:val="clear" w:color="auto" w:fill="FFFFFF"/>
        </w:rPr>
        <w:t>第二十九条 本办法自公布之日起实施。</w:t>
      </w:r>
    </w:p>
    <w:p w:rsidR="006340F3" w:rsidRPr="004719E9" w:rsidRDefault="004719E9">
      <w:bookmarkStart w:id="3" w:name="_GoBack"/>
      <w:bookmarkEnd w:id="3"/>
    </w:p>
    <w:sectPr w:rsidR="006340F3" w:rsidRPr="004719E9">
      <w:pgSz w:w="11906" w:h="16838"/>
      <w:pgMar w:top="1418" w:right="1531" w:bottom="1418"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9E9"/>
    <w:rsid w:val="004719E9"/>
    <w:rsid w:val="00CF22B6"/>
    <w:rsid w:val="00D00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AC851D-1645-40C7-960D-446D38E40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19E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731</Words>
  <Characters>4172</Characters>
  <Application>Microsoft Office Word</Application>
  <DocSecurity>0</DocSecurity>
  <Lines>34</Lines>
  <Paragraphs>9</Paragraphs>
  <ScaleCrop>false</ScaleCrop>
  <Company>Microsoft</Company>
  <LinksUpToDate>false</LinksUpToDate>
  <CharactersWithSpaces>4894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1</cp:revision>
  <dcterms:created xsi:type="dcterms:W3CDTF">2022-03-12T01:46:00Z</dcterms:created>
  <dcterms:modified xsi:type="dcterms:W3CDTF">2022-03-12T01:47:00Z</dcterms:modified>
</cp:coreProperties>
</file>